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DA" w:rsidRDefault="00393F22" w:rsidP="00944779">
      <w:pPr>
        <w:tabs>
          <w:tab w:val="left" w:pos="0"/>
          <w:tab w:val="left" w:pos="1701"/>
          <w:tab w:val="left" w:pos="9639"/>
        </w:tabs>
        <w:spacing w:after="0" w:line="36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Анализ и предотвращение </w:t>
      </w:r>
      <w:r w:rsidR="00BE4DDA" w:rsidRPr="002E7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рисков </w:t>
      </w:r>
      <w:proofErr w:type="spellStart"/>
      <w:r w:rsidR="00BE4DDA" w:rsidRPr="002E7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саморегулируемых</w:t>
      </w:r>
      <w:proofErr w:type="spellEnd"/>
      <w:r w:rsidR="00BE4DDA" w:rsidRPr="002E7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строительных</w:t>
      </w:r>
      <w:r w:rsidR="009447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E4DDA" w:rsidRPr="002E7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BE4DDA" w:rsidRPr="002E7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BE4DDA" w:rsidRPr="002E7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ганизаций</w:t>
      </w:r>
    </w:p>
    <w:p w:rsidR="005A261B" w:rsidRDefault="005A261B" w:rsidP="0094477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 Побегайлов,</w:t>
      </w:r>
      <w:r w:rsidR="0094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Е.М. </w:t>
      </w:r>
      <w:proofErr w:type="spellStart"/>
      <w:r w:rsidRPr="0094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Храпова</w:t>
      </w:r>
      <w:proofErr w:type="spellEnd"/>
    </w:p>
    <w:p w:rsidR="00944779" w:rsidRPr="00944779" w:rsidRDefault="00944779" w:rsidP="0094477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7054" w:rsidRDefault="00367928" w:rsidP="007F5603">
      <w:pPr>
        <w:tabs>
          <w:tab w:val="left" w:pos="0"/>
          <w:tab w:val="left" w:pos="567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51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причиной, препятствующей эффективной устойчивой де</w:t>
      </w:r>
      <w:r w:rsidRPr="005518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18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саморегулируемых организаций (СРО) в строительной отрасли,</w:t>
      </w:r>
      <w:r w:rsidRPr="005518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являются риски. Они присущи любой предпринимательской деятельности и возникают в процессе  функционирования СРО. 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этим, под организационно-эк</w:t>
      </w:r>
      <w:r w:rsidR="00393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ономическим риском организации –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члена СРО понимае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 совокупный риск устойчиво</w:t>
      </w:r>
      <w:r w:rsidR="004D0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 СРО, связанный с финансов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ой </w:t>
      </w:r>
      <w:r w:rsidR="004D0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устойчив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стью </w:t>
      </w:r>
      <w:r w:rsidR="004D0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кажд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 ее члена</w:t>
      </w:r>
      <w:r w:rsidR="004D0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="004D0FA0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отдельн</w:t>
      </w:r>
      <w:r w:rsidR="004D0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ости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Проблемой учета, анализа и предо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вращения рисков занимались многие российские и зарубежные авторы. Риск тесно связан </w:t>
      </w:r>
      <w:r w:rsidR="00393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понятием «неопределенность». 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 неопределенностью ро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сийскими и зарубежны</w:t>
      </w:r>
      <w:r w:rsidR="00B01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 учёны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 понимается неполнота или неточность информации об условиях реализации инвестиционно-ст</w:t>
      </w:r>
      <w:r w:rsidR="001C2D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роительного проекта (</w:t>
      </w:r>
      <w:proofErr w:type="gramStart"/>
      <w:r w:rsidR="001C2D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</w:t>
      </w:r>
      <w:proofErr w:type="gramEnd"/>
      <w:r w:rsidR="001C2D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), в т. ч.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свя</w:t>
      </w:r>
      <w:r w:rsidR="00B01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занных с этими условиями расход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ах  и </w:t>
      </w:r>
      <w:r w:rsidR="00B01F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доход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</w:t>
      </w:r>
      <w:r w:rsidR="00367B8A" w:rsidRPr="00367B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[1]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67928" w:rsidRDefault="00367928" w:rsidP="007F5603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Следовательно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риск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понят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ие, отражающее отрицатель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ное воздейс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вие совокупности факторов. Неопределенность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возможно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сть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возникн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вения в ходе реализации проекта 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желательных событ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ий и последствий,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риском в указанном выше понимании</w:t>
      </w:r>
      <w:r w:rsidR="00367B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</w:t>
      </w:r>
      <w:r w:rsidR="00367B8A" w:rsidRPr="00367B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5A26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].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Решениями, которые принимаются в условиях риска, являются такие, результаты которых неопределенные, но вероятность каждого из них известна.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справедлива, если её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ределяют математическими способами или путем статистического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накопленного за многие годы опыта.</w:t>
      </w:r>
    </w:p>
    <w:p w:rsidR="00BE4DDA" w:rsidRPr="00367B8A" w:rsidRDefault="00367928" w:rsidP="007F5603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количество методов получения организ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релевантной информации, позволяющей справедливо оценить все ри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ситуации. Ч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организация не имеет достаточного количества информации для справедливой оценки вероятности, но опыт многих лет р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подсказывает, что, скорее всего, случится с высокой достоверностью. </w:t>
      </w:r>
      <w:r w:rsid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данной </w:t>
      </w:r>
      <w:proofErr w:type="gramStart"/>
      <w:r w:rsid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имеющиеся</w:t>
      </w:r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</w:t>
      </w:r>
      <w:r w:rsid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той или иной предполагаемой вероятностью</w:t>
      </w:r>
      <w:r w:rsidR="00367B8A" w:rsidRPr="005F3425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452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E4DDA" w:rsidRPr="00563D61" w:rsidRDefault="00653312" w:rsidP="007F5603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невозможно оценить вероятность потенциальных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читается, что р</w:t>
      </w:r>
      <w:r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принима</w:t>
      </w:r>
      <w:r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условиях неопределенности</w:t>
      </w:r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3C6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произойти тогда</w:t>
      </w:r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</w:t>
      </w:r>
      <w:r w:rsidR="003C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</w:t>
      </w:r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настолько новы и</w:t>
      </w:r>
      <w:r w:rsidR="003C6A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сложны, что </w:t>
      </w:r>
      <w:r w:rsidR="003C6A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невозможно </w:t>
      </w:r>
      <w:r w:rsidR="003C6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достовер</w:t>
      </w:r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информации. </w:t>
      </w:r>
      <w:r w:rsidRP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получается, что  достоверность какого-либо  последствия невозможно пре</w:t>
      </w:r>
      <w:r w:rsidRP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полностью верно. Неопределенность присутствует в  решениях, к</w:t>
      </w:r>
      <w:r w:rsidRP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должны быть обязательно выполнены в быстро меняющихся обсто</w:t>
      </w:r>
      <w:r w:rsidRP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тельствах [3].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</w:t>
      </w:r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неопределенностью, можно использовать </w:t>
      </w:r>
      <w:r w:rsidRPr="00653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главных выхода из этой сложившейся ситуации</w:t>
      </w:r>
      <w:r w:rsidR="00BE4DDA"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E01" w:rsidRDefault="00BE4DDA" w:rsidP="007F5603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поп</w:t>
      </w:r>
      <w:r w:rsidR="00352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робовать отыскать недостающ</w:t>
      </w:r>
      <w:r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релевантную инфо</w:t>
      </w:r>
      <w:r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мацию и </w:t>
      </w:r>
      <w:r w:rsidR="00352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к анализу проблемы</w:t>
      </w:r>
      <w:r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2B28" w:rsidRPr="0035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="00352B28" w:rsidRPr="00352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352B28" w:rsidRPr="0035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организации избав</w:t>
      </w:r>
      <w:r w:rsidR="00352B2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от многих сложностей.</w:t>
      </w:r>
      <w:r w:rsidR="00352B28" w:rsidRPr="0035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Опытный руководитель сочетает эту д</w:t>
      </w:r>
      <w:r w:rsidR="00352B28" w:rsidRPr="00352B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2B28" w:rsidRPr="0035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полнительную информацию и анализ с накопленным за многие годы опытом, умением разумно рассуждать</w:t>
      </w:r>
      <w:r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интуицией, </w:t>
      </w:r>
      <w:r w:rsidR="00352B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</w:t>
      </w:r>
      <w:r w:rsidR="00352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чего он може</w:t>
      </w:r>
      <w:r w:rsidR="00352B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предположить, каков будет процент вероятности некоторого события</w:t>
      </w:r>
      <w:r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62761" w:rsidRDefault="00BE4DDA" w:rsidP="000D4CC1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hyperlink r:id="rId6" w:tooltip="Цитируемость: 100%" w:history="1">
        <w:r w:rsidR="00662761" w:rsidRPr="00551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опираться на опыт прошлых лет, реально оценивать ситу</w:t>
        </w:r>
        <w:r w:rsidR="00662761" w:rsidRPr="00551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662761" w:rsidRPr="00551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цию в данное время или пользоваться интуицией и сделать </w:t>
        </w:r>
      </w:hyperlink>
      <w:hyperlink r:id="rId7" w:tooltip="Цитируемость: 100%" w:history="1">
        <w:r w:rsidR="00662761" w:rsidRPr="00551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предположение о вероятности событий.  </w:t>
        </w:r>
      </w:hyperlink>
      <w:r w:rsidR="00662761" w:rsidRPr="005518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требуется, когда на сбор дополнительной инфо</w:t>
      </w:r>
      <w:r w:rsidR="00662761" w:rsidRPr="005518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2761" w:rsidRPr="0055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необходимы очень высокие материальные и моральные вложения. </w:t>
      </w:r>
      <w:proofErr w:type="gramStart"/>
      <w:r w:rsidR="00662761" w:rsidRPr="0055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важных решений </w:t>
      </w:r>
      <w:r w:rsidR="006627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время</w:t>
      </w:r>
      <w:r w:rsidR="00662761" w:rsidRPr="0055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информация [3].</w:t>
      </w:r>
      <w:proofErr w:type="gramEnd"/>
    </w:p>
    <w:p w:rsidR="00BE4DDA" w:rsidRPr="00BB0072" w:rsidRDefault="00BE4DDA" w:rsidP="000D4CC1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отечественн</w:t>
      </w:r>
      <w:r w:rsidR="006627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 литературе встречае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тся</w:t>
      </w:r>
      <w:r w:rsidR="006627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большое число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классифик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6627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ций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рис</w:t>
      </w:r>
      <w:r w:rsidR="009A1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ков, 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</w:t>
      </w:r>
      <w:r w:rsidR="009A1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ванных на некоторыхпризнаках, не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</w:t>
      </w:r>
      <w:r w:rsidR="009A1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итывающих</w:t>
      </w:r>
      <w:r w:rsidR="000A4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специфику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отрас</w:t>
      </w:r>
      <w:r w:rsidR="000A4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лей</w:t>
      </w:r>
      <w:r w:rsidR="009A1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народного хозяйства (видов 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экономи</w:t>
      </w:r>
      <w:r w:rsidR="009A19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ческой деятельности)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A4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Кроме того,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инвестиционно-строительная деятельность </w:t>
      </w:r>
      <w:r w:rsidR="000A4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является весьма 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специфич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0A4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ской сферой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0A4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подвергающаяс</w:t>
      </w:r>
      <w:r w:rsidR="000A4EF0" w:rsidRPr="000A4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 </w:t>
      </w:r>
      <w:r w:rsidR="00BA3A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очень</w:t>
      </w:r>
      <w:r w:rsidR="000A4EF0" w:rsidRPr="000A4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большому количеству рисков, появл</w:t>
      </w:r>
      <w:r w:rsidR="000A4EF0" w:rsidRPr="000A4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0A4EF0" w:rsidRPr="000A4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ние которых непросто спрогнозировать и достоверно </w:t>
      </w:r>
      <w:r w:rsidR="000A4EF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оценить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BA3A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Некоторые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бот</w:t>
      </w:r>
      <w:r w:rsidR="00BA3A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 описыва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ют систему классификаций рисков в проектной, инвестицио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ной, инвестиционно-строительной деятельности, но </w:t>
      </w:r>
      <w:r w:rsidR="00BA3A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самом деле на н</w:t>
      </w:r>
      <w:r w:rsidR="00BA3A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BA3A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стоящее времяне создана 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общепризнанная классификация </w:t>
      </w:r>
      <w:r w:rsidR="00BA3A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рисков 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BA3A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</w:t>
      </w:r>
      <w:r w:rsidR="00BA3A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BA3A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тельной отрасли</w:t>
      </w:r>
      <w:r w:rsidR="00367B8A" w:rsidRPr="00367B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</w:t>
      </w:r>
      <w:r w:rsidR="00367B8A" w:rsidRPr="00BB00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4, 5]</w:t>
      </w:r>
      <w:r w:rsidR="002E58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E4DDA" w:rsidRPr="00563D61" w:rsidRDefault="001C2D76" w:rsidP="001C2D76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2D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разработке системы классификации рисков для строительных о</w:t>
      </w:r>
      <w:r w:rsidRPr="001C2D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1C2D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ганизаций необходимо обеспечить достоверность перечня рисков, влияющих на экономическую деятельность строительной организации; учитывать и</w:t>
      </w:r>
      <w:r w:rsidRPr="001C2D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1C2D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формацию о рисках в систему разработки оптимального решения по упра</w:t>
      </w:r>
      <w:r w:rsidRPr="001C2D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1C2D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лению ими; выявить информацию о тех рисках, на которые организация не в состоянии оказывать воздействие </w:t>
      </w:r>
      <w:r w:rsidR="00BB0072" w:rsidRPr="00BB00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[6]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E4DDA" w:rsidRPr="00563D61" w:rsidRDefault="00BE4DDA" w:rsidP="007F5603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Организации – члены строительных СРО получают допуски к выпо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нению работ, </w:t>
      </w:r>
      <w:r w:rsidR="008C58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которые влияют 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безопасность</w:t>
      </w:r>
      <w:r w:rsidR="008C58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возводимых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объектов. След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вательно, </w:t>
      </w:r>
      <w:r w:rsidR="0091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выявляя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их риск</w:t>
      </w:r>
      <w:r w:rsidR="0091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C762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91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r w:rsidR="0091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ум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 </w:t>
      </w:r>
      <w:r w:rsidR="0091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будет 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рассматривать специфические особенно</w:t>
      </w:r>
      <w:r w:rsidR="00C762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сти деятельности </w:t>
      </w:r>
      <w:r w:rsidR="00532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подрядчиков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На </w:t>
      </w:r>
      <w:r w:rsidR="008746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них 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</w:t>
      </w:r>
      <w:r w:rsidR="00F962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жится самая большая о</w:t>
      </w:r>
      <w:r w:rsidR="00F962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r w:rsidR="00F962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ветственность за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</w:t>
      </w:r>
      <w:r w:rsidR="00F962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лизацию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проекта</w:t>
      </w:r>
      <w:r w:rsidR="00F962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возведения объекта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поскольку </w:t>
      </w:r>
      <w:r w:rsidR="008746DE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подря</w:t>
      </w:r>
      <w:r w:rsidR="008746DE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8746DE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ные организации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несут </w:t>
      </w:r>
      <w:r w:rsidR="008746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силу закона основную за это 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ответственность (если договором подряда</w:t>
      </w:r>
      <w:r w:rsidR="003922E3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предусмотрен</w:t>
      </w:r>
      <w:r w:rsidR="00392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другой вариант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BB0072" w:rsidRPr="00BB00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[7]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BE4DDA" w:rsidRPr="00563D61" w:rsidRDefault="000D4CC1" w:rsidP="007F5603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Основными причин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ами рисков </w:t>
      </w:r>
      <w:r w:rsidR="003B49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подрядчиков 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являются: снижение ко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курентоспособности; ошибки при выборе поставщиков и субподрядчиков; </w:t>
      </w:r>
      <w:r w:rsidR="003B49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банкротство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заказчика;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некорректно заключенные договоры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подряда и</w:t>
      </w:r>
      <w:r w:rsidR="003B49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став</w:t>
      </w:r>
      <w:r w:rsidR="003B49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ки; изъяны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="003B49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управлении строительным производством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 невыполнение условий догово</w:t>
      </w:r>
      <w:r w:rsidR="003B49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ров; потеря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квалификации </w:t>
      </w:r>
      <w:r w:rsidR="003B49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линейных руководителей и </w:t>
      </w:r>
      <w:proofErr w:type="gramStart"/>
      <w:r w:rsidR="003B49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топ-менеджеров</w:t>
      </w:r>
      <w:proofErr w:type="gramEnd"/>
      <w:r w:rsidR="00AC3C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т. д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67B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</w:t>
      </w:r>
      <w:r w:rsidR="00367B8A" w:rsidRPr="003B49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3B49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E4DDA" w:rsidRDefault="000D4CC1" w:rsidP="007F5603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Исследование показало, что</w:t>
      </w:r>
      <w:r w:rsidR="008154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A430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рименение инновационного подхода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зволяет выделить два подхода 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обеспечению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конкурентоспособности п</w:t>
      </w:r>
      <w:r w:rsidR="008154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ря</w:t>
      </w:r>
      <w:r w:rsidR="008154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дчика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маркетинговый,  который базируется на наиболее полном удовл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творении потребностей заказчика, при этом инструментами управления ко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курентоспособностью являются – набор побудительных факторов маркети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га, связанных с ценой продукции, ее качеством, системой продвижения ее на рынке; </w:t>
      </w:r>
      <w:r w:rsidR="002E58C4" w:rsidRPr="0055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интегральный подход, </w:t>
      </w:r>
      <w:r w:rsidR="002E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вбирающий в себя ряд </w:t>
      </w:r>
      <w:r w:rsidR="002E58C4" w:rsidRPr="00551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упр</w:t>
      </w:r>
      <w:r w:rsidR="002E5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различными функция</w:t>
      </w:r>
      <w:r w:rsidR="002E58C4" w:rsidRPr="0055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2E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этом случае конкурентоспособность предприятия в значительной степени зависит от способности </w:t>
      </w:r>
      <w:r w:rsidR="008154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организации </w:t>
      </w:r>
      <w:r w:rsidR="008154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выпуска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ть </w:t>
      </w:r>
      <w:r w:rsidR="002E58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пользующуюся спросом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продукцию при эффективно</w:t>
      </w:r>
      <w:r w:rsidR="008154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 организ</w:t>
      </w:r>
      <w:r w:rsidR="008154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8154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ции 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производственного, кадрового</w:t>
      </w:r>
      <w:r w:rsidR="00367B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инновационного потенциалов. [</w:t>
      </w:r>
      <w:r w:rsidR="00BB0072" w:rsidRPr="002E58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</w:p>
    <w:p w:rsidR="00BE4DDA" w:rsidRDefault="00E91DEE" w:rsidP="007F5603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итоге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возникновения рисков из-за перечисленных </w:t>
      </w:r>
      <w:r w:rsidR="00661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выше </w:t>
      </w:r>
      <w:r w:rsidR="000D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причин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ряд</w:t>
      </w:r>
      <w:r w:rsidR="00661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чики ощущают на себе последствия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</w:t>
      </w:r>
      <w:r w:rsidR="00661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оявления каждого риска.</w:t>
      </w:r>
      <w:proofErr w:type="gramEnd"/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резул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тат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это может привести к непроизв</w:t>
      </w:r>
      <w:r w:rsidR="000D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0D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ствен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ным расходам, увеличению себ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стоимости строительства,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иному виду 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удоро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жания</w:t>
      </w:r>
      <w:r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работ, 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снижению дох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0D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прибыли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другим</w:t>
      </w:r>
      <w:r w:rsidR="000D4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пагубным последствиям</w:t>
      </w:r>
      <w:r w:rsidR="00367B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="00367B8A" w:rsidRPr="00367B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0644D3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11CF5" w:rsidRPr="00211CF5" w:rsidRDefault="00211CF5" w:rsidP="000D4CC1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точки зрения СРО деятельность организаций – ее членов может пр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вести к ряду рисковых ситуаций, </w:t>
      </w:r>
      <w:r w:rsidR="009220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нанося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щих </w:t>
      </w:r>
      <w:r w:rsidR="009220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вр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9220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организацион</w:t>
      </w:r>
      <w:r w:rsidR="009220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но-экономическойустойчивости СРО. Подобн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ые ситуации можно условно ра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</w:t>
      </w:r>
      <w:r w:rsidR="009220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лить по характеру отрицатель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ного воздействия на 2 группы: </w:t>
      </w:r>
      <w:r w:rsidR="00C257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а) 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ситуации, при которых средств</w:t>
      </w:r>
      <w:r w:rsidR="00C257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для погашения какого-либо ущерба или каких-либо убытков выдаются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 компенсационного фонда СРО;</w:t>
      </w:r>
      <w:r w:rsidR="00C257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б)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ситуа</w:t>
      </w:r>
      <w:r w:rsidR="00C257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ции, при кот</w:t>
      </w:r>
      <w:r w:rsidR="00C257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C257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рых организация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исключается из состава членов СРО</w:t>
      </w:r>
      <w:r w:rsidR="002906B0" w:rsidRPr="002906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[9, 10]</w:t>
      </w:r>
      <w:r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E560D" w:rsidRDefault="00537C7A" w:rsidP="00452A5D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Таким образом, используя методику анализа рисков </w:t>
      </w:r>
      <w:r w:rsidRPr="00537C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подрядных стро</w:t>
      </w:r>
      <w:r w:rsidRPr="00537C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тельных организаций, СРО могут предотвратить последствия наступления </w:t>
      </w:r>
      <w:r w:rsidR="00211CF5"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субсидиар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ной</w:t>
      </w:r>
      <w:r w:rsidR="00211CF5"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</w:t>
      </w:r>
      <w:r w:rsidR="00A554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ветственности(</w:t>
      </w:r>
      <w:r w:rsidR="00A55448" w:rsidRPr="00A554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ст. 55.16 Градостроительного кодекса РФ</w:t>
      </w:r>
      <w:r w:rsidR="00A554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211CF5"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обязательствам своих членов, </w:t>
      </w:r>
      <w:r w:rsidR="008154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нанес</w:t>
      </w:r>
      <w:r w:rsidR="00211CF5"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шим </w:t>
      </w:r>
      <w:r w:rsidR="008154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вред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третьим лицам</w:t>
      </w:r>
      <w:r w:rsidR="00211CF5" w:rsidRPr="00211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003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Проведенный анализ позволяет </w:t>
      </w:r>
      <w:r w:rsidR="000644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выявить, 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классифицировать </w:t>
      </w:r>
      <w:r w:rsidR="000644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предотвратить 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основные </w:t>
      </w:r>
      <w:r w:rsidR="00926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</w:t>
      </w:r>
      <w:r w:rsidR="00926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926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ки, которые могут возникнуть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процессе </w:t>
      </w:r>
      <w:r w:rsidR="0092604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реализации инвестиционно-строительного проекта и другой экономической </w:t>
      </w:r>
      <w:r w:rsidR="00BE4DDA" w:rsidRPr="00563D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деятельности строительных организаций – членов СРО.</w:t>
      </w:r>
    </w:p>
    <w:p w:rsidR="00BE4DDA" w:rsidRPr="00944779" w:rsidRDefault="007F5603" w:rsidP="007F5603">
      <w:pPr>
        <w:tabs>
          <w:tab w:val="left" w:pos="0"/>
          <w:tab w:val="left" w:pos="963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9447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Литература</w:t>
      </w:r>
      <w:r w:rsidR="00944779" w:rsidRPr="009447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367B8A" w:rsidRPr="00944779" w:rsidRDefault="00BE4DDA" w:rsidP="00A57216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1</w:t>
      </w:r>
      <w:r w:rsidR="00F05F02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r w:rsidR="00367B8A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CEO Perspectives: Business Planning in Inclement Economic Weather, DM Review, June 2002, by Tom </w:t>
      </w:r>
      <w:proofErr w:type="spellStart"/>
      <w:r w:rsidR="00367B8A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Hoblitzel</w:t>
      </w:r>
      <w:proofErr w:type="spellEnd"/>
      <w:r w:rsidR="00367B8A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proofErr w:type="spellStart"/>
      <w:r w:rsidR="00367B8A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Answerthink</w:t>
      </w:r>
      <w:proofErr w:type="spellEnd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. </w:t>
      </w:r>
      <w:r w:rsidR="00914A80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– </w:t>
      </w:r>
      <w:proofErr w:type="gramStart"/>
      <w:r w:rsidR="00914A80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Р. 168</w:t>
      </w:r>
      <w:proofErr w:type="gramEnd"/>
      <w:r w:rsidR="00914A80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– 176.</w:t>
      </w:r>
    </w:p>
    <w:p w:rsidR="00CE560D" w:rsidRPr="00944779" w:rsidRDefault="00367B8A" w:rsidP="00A57216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proofErr w:type="spellStart"/>
      <w:r w:rsidR="000065D5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Куракова</w:t>
      </w:r>
      <w:proofErr w:type="spellEnd"/>
      <w:r w:rsidR="000065D5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О.А. Беляков С.И</w:t>
      </w:r>
      <w:r w:rsidR="005A261B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BE4DDA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Анализ факторов, оказывающих влияние на организационно-экономическую устойчивость саморегулируемых орг</w:t>
      </w:r>
      <w:r w:rsidR="00D72F16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</w:t>
      </w:r>
      <w:r w:rsidR="00D72F16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D72F16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заций в строительной отрасли</w:t>
      </w:r>
      <w:r w:rsidR="00BE4DDA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// Недв</w:t>
      </w:r>
      <w:r w:rsidR="000065D5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ижимость: экономика, управл</w:t>
      </w:r>
      <w:r w:rsidR="000065D5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0065D5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</w:t>
      </w:r>
      <w:proofErr w:type="gramStart"/>
      <w:r w:rsidR="000065D5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CE560D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proofErr w:type="gramEnd"/>
      <w:r w:rsidR="00CE560D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международный научно-технический журнал)</w:t>
      </w:r>
      <w:r w:rsidR="000065D5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2011</w:t>
      </w:r>
      <w:r w:rsidR="00396109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CE560D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</w:t>
      </w:r>
      <w:r w:rsidR="000065D5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CE560D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С. 54-56.</w:t>
      </w:r>
    </w:p>
    <w:p w:rsidR="00A57216" w:rsidRPr="00944779" w:rsidRDefault="00367B8A" w:rsidP="00A57216">
      <w:pPr>
        <w:pStyle w:val="a5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3</w:t>
      </w:r>
      <w:r w:rsidR="00BE4DDA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A57216" w:rsidRPr="00944779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Побегайлов О.А.</w:t>
      </w:r>
      <w:r w:rsidR="00A57216" w:rsidRPr="0094477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Выработка решений в период кризиса и </w:t>
      </w:r>
      <w:proofErr w:type="gramStart"/>
      <w:r w:rsidR="00A57216" w:rsidRPr="0094477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условиях</w:t>
      </w:r>
      <w:proofErr w:type="gramEnd"/>
      <w:r w:rsidR="00A57216" w:rsidRPr="0094477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н</w:t>
      </w:r>
      <w:r w:rsidR="00A57216" w:rsidRPr="0094477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е</w:t>
      </w:r>
      <w:r w:rsidR="00A57216" w:rsidRPr="0094477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определенности [Электронный ресурс] // Инженерный вестник Дона, 2013. – № 2. Режим доступа: </w:t>
      </w:r>
      <w:hyperlink r:id="rId8" w:history="1">
        <w:r w:rsidR="00A57216" w:rsidRPr="00944779">
          <w:rPr>
            <w:rFonts w:ascii="Times New Roman" w:eastAsia="Times New Roman" w:hAnsi="Times New Roman" w:cs="Times New Roman"/>
            <w:bCs/>
            <w:color w:val="0000FF"/>
            <w:spacing w:val="-4"/>
            <w:sz w:val="28"/>
            <w:szCs w:val="28"/>
            <w:u w:val="single"/>
          </w:rPr>
          <w:t>http://www.ivdon.ru/magazine/archive/n2y2013/1730</w:t>
        </w:r>
      </w:hyperlink>
      <w:r w:rsidR="00A57216" w:rsidRPr="0094477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(доступ св</w:t>
      </w:r>
      <w:r w:rsidR="00A57216" w:rsidRPr="0094477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</w:t>
      </w:r>
      <w:r w:rsidR="00A57216" w:rsidRPr="0094477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бодный) – </w:t>
      </w:r>
      <w:proofErr w:type="spellStart"/>
      <w:r w:rsidR="00A57216" w:rsidRPr="0094477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Загл</w:t>
      </w:r>
      <w:proofErr w:type="spellEnd"/>
      <w:r w:rsidR="00A57216" w:rsidRPr="0094477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 с экрана. – Яз</w:t>
      </w:r>
      <w:proofErr w:type="gramStart"/>
      <w:r w:rsidR="00A57216" w:rsidRPr="0094477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.р</w:t>
      </w:r>
      <w:proofErr w:type="gramEnd"/>
      <w:r w:rsidR="00A57216" w:rsidRPr="0094477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ус.</w:t>
      </w:r>
    </w:p>
    <w:p w:rsidR="00367B8A" w:rsidRPr="00944779" w:rsidRDefault="00367B8A" w:rsidP="00A57216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4. Major Miners, CFO.com, May 2002, Marie Leone, senior editor</w:t>
      </w:r>
      <w:proofErr w:type="gramStart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</w:t>
      </w:r>
      <w:r w:rsidR="00914A80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–</w:t>
      </w:r>
      <w:proofErr w:type="gramEnd"/>
      <w:r w:rsidR="00914A80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914A80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Р. 58 – 69</w:t>
      </w:r>
      <w:bookmarkStart w:id="0" w:name="_GoBack"/>
      <w:bookmarkEnd w:id="0"/>
      <w:r w:rsidR="00914A80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B0072" w:rsidRPr="00944779" w:rsidRDefault="00BB0072" w:rsidP="00A57216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5. Терентьев В.А. Предложения по повышению качества подготовки инженеров-строителей [Электронный ресурс] // Инженерный вестник Дона, 2012, </w:t>
      </w:r>
      <w:hyperlink r:id="rId9" w:history="1"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 xml:space="preserve">№ 4. </w:t>
        </w:r>
      </w:hyperlink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Режим доступа </w:t>
      </w:r>
      <w:hyperlink r:id="rId10" w:history="1"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http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://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www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ivdon</w:t>
        </w:r>
        <w:proofErr w:type="spellEnd"/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magazine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archive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/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n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4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p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1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y</w:t>
        </w:r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2012</w:t>
        </w:r>
      </w:hyperlink>
    </w:p>
    <w:p w:rsidR="00BB0072" w:rsidRPr="00944779" w:rsidRDefault="00BB0072" w:rsidP="00A57216">
      <w:pPr>
        <w:tabs>
          <w:tab w:val="left" w:pos="0"/>
          <w:tab w:val="left" w:pos="963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/1160</w:t>
      </w: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(доступ свободный) – </w:t>
      </w:r>
      <w:proofErr w:type="spellStart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Загл</w:t>
      </w:r>
      <w:proofErr w:type="spellEnd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 экрана. – Яз</w:t>
      </w:r>
      <w:proofErr w:type="gramStart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.р</w:t>
      </w:r>
      <w:proofErr w:type="gramEnd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ус.</w:t>
      </w:r>
    </w:p>
    <w:p w:rsidR="00BB0072" w:rsidRPr="00944779" w:rsidRDefault="00BB0072" w:rsidP="00A57216">
      <w:pPr>
        <w:shd w:val="clear" w:color="auto" w:fill="FFFFFF"/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 </w:t>
      </w:r>
      <w:proofErr w:type="spellStart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Лукманова</w:t>
      </w:r>
      <w:proofErr w:type="spellEnd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И.Г. и др. Диверсификация деятельности строительных предприятий в условияхэкономического кризиса / И.Г </w:t>
      </w:r>
      <w:proofErr w:type="spellStart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Лукманова</w:t>
      </w:r>
      <w:proofErr w:type="spellEnd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Х.М. </w:t>
      </w:r>
      <w:proofErr w:type="spellStart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</w:t>
      </w: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</w:t>
      </w:r>
      <w:proofErr w:type="spellEnd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М.: Издательство «Ассоциация строительных ВУЗов», 2009.</w:t>
      </w:r>
      <w:r w:rsidR="00914A80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612 </w:t>
      </w:r>
      <w:r w:rsidR="00914A80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c</w:t>
      </w:r>
      <w:r w:rsidR="00914A80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B0072" w:rsidRPr="00944779" w:rsidRDefault="00BB0072" w:rsidP="00A57216">
      <w:pPr>
        <w:shd w:val="clear" w:color="auto" w:fill="FFFFFF"/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7. Малявка Н.А. Методические основы </w:t>
      </w:r>
      <w:proofErr w:type="gramStart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формирования системы показ</w:t>
      </w: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телей отбора кандидатов</w:t>
      </w:r>
      <w:proofErr w:type="gramEnd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члены саморегулируемой организации в стро</w:t>
      </w: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тельстве [Электронный ресурс] // Инженерный вестник Дона, 2011, </w:t>
      </w:r>
      <w:hyperlink r:id="rId11" w:history="1">
        <w:r w:rsidRPr="00944779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 xml:space="preserve">№ 1. </w:t>
        </w:r>
      </w:hyperlink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жим доступа </w:t>
      </w:r>
      <w:hyperlink r:id="rId12" w:history="1">
        <w:r w:rsidRPr="00944779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http://www.ivdon.ru/magazine/archive/n1y2011/386</w:t>
        </w:r>
      </w:hyperlink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(доступ св</w:t>
      </w: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бодный) – </w:t>
      </w:r>
      <w:proofErr w:type="spellStart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Загл</w:t>
      </w:r>
      <w:proofErr w:type="spellEnd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 экрана. – Яз</w:t>
      </w:r>
      <w:proofErr w:type="gramStart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.р</w:t>
      </w:r>
      <w:proofErr w:type="gramEnd"/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ус.</w:t>
      </w:r>
    </w:p>
    <w:p w:rsidR="005A261B" w:rsidRPr="00944779" w:rsidRDefault="00BB0072" w:rsidP="00A57216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2829FF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2829FF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ЛукмановаИ.Г</w:t>
      </w:r>
      <w:proofErr w:type="spellEnd"/>
      <w:r w:rsidR="002829FF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96109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396109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Казинец</w:t>
      </w:r>
      <w:proofErr w:type="spellEnd"/>
      <w:r w:rsidR="00396109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Л.А.</w:t>
      </w:r>
      <w:r w:rsidR="002829FF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Повышение конкурентоспособности строительных организаций в условиях саморегулирования</w:t>
      </w:r>
      <w:r w:rsidR="003956A5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//Н</w:t>
      </w:r>
      <w:r w:rsidR="00BE4DDA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едвижимость: экономика, управление</w:t>
      </w:r>
      <w:r w:rsidR="00CE560D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(международный научно-технический журнал),</w:t>
      </w:r>
      <w:r w:rsidR="003956A5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2010</w:t>
      </w:r>
      <w:r w:rsidR="00396109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3956A5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№ </w:t>
      </w:r>
      <w:r w:rsidR="00396109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1-</w:t>
      </w:r>
      <w:r w:rsidR="003956A5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396109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CE560D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</w:t>
      </w:r>
      <w:r w:rsidR="00396109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С. </w:t>
      </w:r>
      <w:r w:rsidR="00CE560D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24-27.</w:t>
      </w:r>
    </w:p>
    <w:p w:rsidR="000030D7" w:rsidRPr="00944779" w:rsidRDefault="002906B0" w:rsidP="00A57216">
      <w:pPr>
        <w:tabs>
          <w:tab w:val="left" w:pos="0"/>
          <w:tab w:val="left" w:pos="9639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0030D7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CB0A6A" w:rsidRPr="00944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Малявка Н.А. Проектирование автоматизированной информационной технологии управления организационным механизмом отбора кандидатов в члены саморегулируемой организации в строительств</w:t>
      </w:r>
      <w:proofErr w:type="gramStart"/>
      <w:r w:rsidR="00CB0A6A" w:rsidRPr="00944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B0A6A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proofErr w:type="gramEnd"/>
      <w:r w:rsidR="00CB0A6A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Электронный ресурс] // Инженерный вестник Дона, 2011</w:t>
      </w:r>
      <w:r w:rsidR="00A57216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-</w:t>
      </w:r>
      <w:hyperlink r:id="rId13" w:history="1">
        <w:r w:rsidR="00A57216" w:rsidRPr="00944779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 xml:space="preserve">№ 2. </w:t>
        </w:r>
      </w:hyperlink>
      <w:r w:rsidR="00CB0A6A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Режим доступа </w:t>
      </w:r>
      <w:hyperlink r:id="rId14" w:history="1">
        <w:r w:rsidR="00CB0A6A" w:rsidRPr="009447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http://www.ivdon.ru/magazine/archive/n2y2011/443</w:t>
        </w:r>
      </w:hyperlink>
      <w:r w:rsidR="00CB0A6A" w:rsidRPr="009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(доступ свободный) – </w:t>
      </w:r>
      <w:proofErr w:type="spellStart"/>
      <w:r w:rsidR="00CB0A6A" w:rsidRPr="009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="00CB0A6A" w:rsidRPr="009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экрана. – Яз</w:t>
      </w:r>
      <w:proofErr w:type="gramStart"/>
      <w:r w:rsidR="00CB0A6A" w:rsidRPr="009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CB0A6A" w:rsidRPr="00944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ус.</w:t>
      </w:r>
    </w:p>
    <w:p w:rsidR="004B363E" w:rsidRPr="00944779" w:rsidRDefault="000030D7" w:rsidP="00A57216">
      <w:pPr>
        <w:tabs>
          <w:tab w:val="left" w:pos="426"/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4B363E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hyperlink r:id="rId15" w:history="1">
        <w:r w:rsidR="00A57216" w:rsidRPr="00944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Побегайлов</w:t>
        </w:r>
      </w:hyperlink>
      <w:r w:rsidR="00A57216" w:rsidRPr="00944779">
        <w:rPr>
          <w:rFonts w:ascii="Times New Roman" w:hAnsi="Times New Roman" w:cs="Times New Roman"/>
          <w:sz w:val="28"/>
          <w:szCs w:val="28"/>
        </w:rPr>
        <w:t xml:space="preserve"> О.А.,</w:t>
      </w:r>
      <w:hyperlink r:id="rId16" w:history="1">
        <w:r w:rsidR="00A57216" w:rsidRPr="00944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Шемчук</w:t>
        </w:r>
      </w:hyperlink>
      <w:r w:rsidR="00A57216" w:rsidRPr="00944779">
        <w:rPr>
          <w:rFonts w:ascii="Times New Roman" w:hAnsi="Times New Roman" w:cs="Times New Roman"/>
          <w:sz w:val="28"/>
          <w:szCs w:val="28"/>
        </w:rPr>
        <w:t xml:space="preserve"> А.В.</w:t>
      </w:r>
      <w:r w:rsidR="00A57216" w:rsidRPr="00944779">
        <w:rPr>
          <w:rFonts w:ascii="Times New Roman" w:hAnsi="Times New Roman" w:cs="Times New Roman"/>
          <w:color w:val="000000"/>
          <w:sz w:val="28"/>
          <w:szCs w:val="28"/>
        </w:rPr>
        <w:t>Формирование системной организ</w:t>
      </w:r>
      <w:r w:rsidR="00A57216" w:rsidRPr="009447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57216" w:rsidRPr="00944779">
        <w:rPr>
          <w:rFonts w:ascii="Times New Roman" w:hAnsi="Times New Roman" w:cs="Times New Roman"/>
          <w:color w:val="000000"/>
          <w:sz w:val="28"/>
          <w:szCs w:val="28"/>
        </w:rPr>
        <w:t xml:space="preserve">ции в строительстве [Электронный ресурс] </w:t>
      </w:r>
      <w:r w:rsidR="00A57216" w:rsidRPr="00944779">
        <w:rPr>
          <w:rFonts w:ascii="Times New Roman" w:eastAsia="Times New Roman" w:hAnsi="Times New Roman" w:cs="Times New Roman"/>
          <w:kern w:val="36"/>
          <w:sz w:val="28"/>
          <w:szCs w:val="28"/>
        </w:rPr>
        <w:t>//</w:t>
      </w:r>
      <w:r w:rsidR="00A57216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Инженерный вестник Дона</w:t>
      </w:r>
      <w:r w:rsidR="00A57216" w:rsidRPr="0094477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="00A57216" w:rsidRPr="00944779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20</w:t>
      </w:r>
      <w:r w:rsidR="00A57216" w:rsidRPr="00944779">
        <w:rPr>
          <w:rFonts w:ascii="Times New Roman" w:hAnsi="Times New Roman" w:cs="Times New Roman"/>
          <w:sz w:val="28"/>
          <w:szCs w:val="28"/>
        </w:rPr>
        <w:t>12</w:t>
      </w:r>
      <w:r w:rsidR="00A57216" w:rsidRPr="00944779">
        <w:rPr>
          <w:rFonts w:ascii="Times New Roman" w:eastAsia="Times New Roman" w:hAnsi="Times New Roman" w:cs="Times New Roman"/>
          <w:kern w:val="36"/>
          <w:sz w:val="28"/>
          <w:szCs w:val="28"/>
        </w:rPr>
        <w:t>. -</w:t>
      </w:r>
      <w:r w:rsidR="00A57216" w:rsidRPr="00944779">
        <w:rPr>
          <w:rFonts w:ascii="Times New Roman" w:hAnsi="Times New Roman" w:cs="Times New Roman"/>
          <w:sz w:val="28"/>
          <w:szCs w:val="28"/>
        </w:rPr>
        <w:t xml:space="preserve">№ 3. </w:t>
      </w:r>
      <w:r w:rsidR="00A57216" w:rsidRPr="0094477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Режим доступа </w:t>
      </w:r>
      <w:hyperlink r:id="rId17" w:history="1"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ivdon</w:t>
        </w:r>
        <w:proofErr w:type="spellEnd"/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magazine</w:t>
        </w:r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A57216" w:rsidRPr="00944779">
          <w:rPr>
            <w:rStyle w:val="a3"/>
            <w:rFonts w:ascii="Times New Roman" w:hAnsi="Times New Roman" w:cs="Times New Roman"/>
            <w:sz w:val="28"/>
            <w:szCs w:val="28"/>
          </w:rPr>
          <w:t>2012/963</w:t>
        </w:r>
      </w:hyperlink>
      <w:r w:rsidR="00A57216" w:rsidRPr="00944779">
        <w:rPr>
          <w:rFonts w:ascii="Times New Roman" w:hAnsi="Times New Roman" w:cs="Times New Roman"/>
          <w:sz w:val="28"/>
          <w:szCs w:val="28"/>
        </w:rPr>
        <w:t xml:space="preserve">  (доступ свободный) – </w:t>
      </w:r>
      <w:proofErr w:type="spellStart"/>
      <w:r w:rsidR="00A57216" w:rsidRPr="0094477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A57216" w:rsidRPr="00944779">
        <w:rPr>
          <w:rFonts w:ascii="Times New Roman" w:hAnsi="Times New Roman" w:cs="Times New Roman"/>
          <w:sz w:val="28"/>
          <w:szCs w:val="28"/>
        </w:rPr>
        <w:t>. с экрана. – Яз</w:t>
      </w:r>
      <w:proofErr w:type="gramStart"/>
      <w:r w:rsidR="00A57216" w:rsidRPr="009447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7216" w:rsidRPr="00944779">
        <w:rPr>
          <w:rFonts w:ascii="Times New Roman" w:hAnsi="Times New Roman" w:cs="Times New Roman"/>
          <w:sz w:val="28"/>
          <w:szCs w:val="28"/>
        </w:rPr>
        <w:t xml:space="preserve">ус. </w:t>
      </w:r>
    </w:p>
    <w:sectPr w:rsidR="004B363E" w:rsidRPr="00944779" w:rsidSect="005A26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03AF"/>
    <w:multiLevelType w:val="hybridMultilevel"/>
    <w:tmpl w:val="463E4DC0"/>
    <w:lvl w:ilvl="0" w:tplc="A56472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2770"/>
    <w:rsid w:val="000030D7"/>
    <w:rsid w:val="000065D5"/>
    <w:rsid w:val="000644D3"/>
    <w:rsid w:val="000A4EF0"/>
    <w:rsid w:val="000D4CC1"/>
    <w:rsid w:val="000E2770"/>
    <w:rsid w:val="000F2D76"/>
    <w:rsid w:val="000F38BC"/>
    <w:rsid w:val="001C2D76"/>
    <w:rsid w:val="001E5CC3"/>
    <w:rsid w:val="00211CF5"/>
    <w:rsid w:val="002829FF"/>
    <w:rsid w:val="002906B0"/>
    <w:rsid w:val="002B6515"/>
    <w:rsid w:val="002E58C4"/>
    <w:rsid w:val="002E7054"/>
    <w:rsid w:val="00300440"/>
    <w:rsid w:val="00317C23"/>
    <w:rsid w:val="00352B28"/>
    <w:rsid w:val="00367928"/>
    <w:rsid w:val="00367B8A"/>
    <w:rsid w:val="003922E3"/>
    <w:rsid w:val="00393F22"/>
    <w:rsid w:val="003956A5"/>
    <w:rsid w:val="00396109"/>
    <w:rsid w:val="003B498C"/>
    <w:rsid w:val="003C6A0D"/>
    <w:rsid w:val="003F26B2"/>
    <w:rsid w:val="00401763"/>
    <w:rsid w:val="00434019"/>
    <w:rsid w:val="00452A5D"/>
    <w:rsid w:val="004B363E"/>
    <w:rsid w:val="004D0FA0"/>
    <w:rsid w:val="004F17AF"/>
    <w:rsid w:val="005329FA"/>
    <w:rsid w:val="00537C7A"/>
    <w:rsid w:val="005A261B"/>
    <w:rsid w:val="005B592C"/>
    <w:rsid w:val="005F3425"/>
    <w:rsid w:val="0061615B"/>
    <w:rsid w:val="00653312"/>
    <w:rsid w:val="006613B8"/>
    <w:rsid w:val="00662761"/>
    <w:rsid w:val="00686364"/>
    <w:rsid w:val="0071137B"/>
    <w:rsid w:val="007131E5"/>
    <w:rsid w:val="00720324"/>
    <w:rsid w:val="00721E1F"/>
    <w:rsid w:val="007F5603"/>
    <w:rsid w:val="008154F1"/>
    <w:rsid w:val="008746DE"/>
    <w:rsid w:val="008C2071"/>
    <w:rsid w:val="008C58F5"/>
    <w:rsid w:val="0090169A"/>
    <w:rsid w:val="00914A80"/>
    <w:rsid w:val="00916200"/>
    <w:rsid w:val="009220CE"/>
    <w:rsid w:val="00926046"/>
    <w:rsid w:val="00934005"/>
    <w:rsid w:val="009355AD"/>
    <w:rsid w:val="00944779"/>
    <w:rsid w:val="00981D79"/>
    <w:rsid w:val="009A19BC"/>
    <w:rsid w:val="009C1E01"/>
    <w:rsid w:val="00A4306B"/>
    <w:rsid w:val="00A4357C"/>
    <w:rsid w:val="00A55448"/>
    <w:rsid w:val="00A57216"/>
    <w:rsid w:val="00AC3CA5"/>
    <w:rsid w:val="00AC52E9"/>
    <w:rsid w:val="00B01EF7"/>
    <w:rsid w:val="00B01F96"/>
    <w:rsid w:val="00BA3A9D"/>
    <w:rsid w:val="00BB0072"/>
    <w:rsid w:val="00BC04F3"/>
    <w:rsid w:val="00BE4DDA"/>
    <w:rsid w:val="00C2571F"/>
    <w:rsid w:val="00C762AF"/>
    <w:rsid w:val="00C94BFB"/>
    <w:rsid w:val="00CA1C72"/>
    <w:rsid w:val="00CB0A6A"/>
    <w:rsid w:val="00CE560D"/>
    <w:rsid w:val="00D72F16"/>
    <w:rsid w:val="00E91DEE"/>
    <w:rsid w:val="00EE67FE"/>
    <w:rsid w:val="00F05F02"/>
    <w:rsid w:val="00F767FF"/>
    <w:rsid w:val="00F9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5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610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5721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5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610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5721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magazine/archive/n2y2013/1730" TargetMode="External"/><Relationship Id="rId13" Type="http://schemas.openxmlformats.org/officeDocument/2006/relationships/hyperlink" Target="&#8470;%202.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//" TargetMode="External"/><Relationship Id="rId12" Type="http://schemas.openxmlformats.org/officeDocument/2006/relationships/hyperlink" Target="http://www.ivdon.ru/magazine/archive/n1y2011/386" TargetMode="External"/><Relationship Id="rId17" Type="http://schemas.openxmlformats.org/officeDocument/2006/relationships/hyperlink" Target="http://www.ivdon.ru/magazine/archive/n3y2012/9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vdon.ru/magazine/search?search=%D0%90.%D0%92.+%D0%A8%D0%B5%D0%BC%D1%87%D1%83%D0%B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&#8470;%201.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vdon.ru/magazine/search?search=%D0%9E.%D0%90.+%D0%9F%D0%BE%D0%B1%D0%B5%D0%B3%D0%B0%D0%B9%D0%BB%D0%BE%D0%B2" TargetMode="External"/><Relationship Id="rId10" Type="http://schemas.openxmlformats.org/officeDocument/2006/relationships/hyperlink" Target="http://www.ivdon.ru/magazine/archive/n4p1y20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8470;%204.%20" TargetMode="External"/><Relationship Id="rId14" Type="http://schemas.openxmlformats.org/officeDocument/2006/relationships/hyperlink" Target="http://www.ivdon.ru/magazine/archive/n2y2011/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2D59-F35E-412C-8F66-884C8443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Даня</cp:lastModifiedBy>
  <cp:revision>46</cp:revision>
  <dcterms:created xsi:type="dcterms:W3CDTF">2013-04-12T16:16:00Z</dcterms:created>
  <dcterms:modified xsi:type="dcterms:W3CDTF">2013-09-02T19:57:00Z</dcterms:modified>
</cp:coreProperties>
</file>